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venir" w:cs="Avenir" w:eastAsia="Avenir" w:hAnsi="Avenir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Avenir" w:cs="Avenir" w:eastAsia="Avenir" w:hAnsi="Avenir"/>
          <w:sz w:val="26"/>
          <w:szCs w:val="26"/>
          <w:rtl w:val="0"/>
        </w:rPr>
        <w:t xml:space="preserve">TISKOVÁ ZPRÁVA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venir" w:cs="Avenir" w:eastAsia="Avenir" w:hAnsi="Avenir"/>
          <w:i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RSBC Holding a.s.</w:t>
      </w:r>
    </w:p>
    <w:p w:rsidR="00000000" w:rsidDel="00000000" w:rsidP="00000000" w:rsidRDefault="00000000" w:rsidRPr="00000000" w14:paraId="00000005">
      <w:pPr>
        <w:rPr>
          <w:rFonts w:ascii="Avenir" w:cs="Avenir" w:eastAsia="Avenir" w:hAnsi="Avenir"/>
          <w:i w:val="1"/>
          <w:sz w:val="18"/>
          <w:szCs w:val="18"/>
        </w:rPr>
      </w:pP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14.</w:t>
      </w:r>
      <w:r w:rsidDel="00000000" w:rsidR="00000000" w:rsidRPr="00000000">
        <w:rPr>
          <w:rFonts w:ascii="Avenir" w:cs="Avenir" w:eastAsia="Avenir" w:hAnsi="Avenir"/>
          <w:i w:val="1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Avenir" w:cs="Avenir" w:eastAsia="Avenir" w:hAnsi="Avenir"/>
          <w:i w:val="1"/>
          <w:sz w:val="18"/>
          <w:szCs w:val="18"/>
          <w:rtl w:val="0"/>
        </w:rPr>
        <w:t xml:space="preserve">dubna 2025, Praha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b w:val="1"/>
          <w:sz w:val="48"/>
          <w:szCs w:val="48"/>
          <w:u w:val="single"/>
          <w:rtl w:val="0"/>
        </w:rPr>
        <w:t xml:space="preserve">Fond RSBC Defence zakončil rok 2024 s výnosem až 11 % a očekává další růst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Avenir" w:cs="Avenir" w:eastAsia="Avenir" w:hAnsi="Avenir"/>
          <w:b w:val="1"/>
          <w:i w:val="1"/>
          <w:sz w:val="24"/>
          <w:szCs w:val="24"/>
          <w:highlight w:val="red"/>
        </w:rPr>
      </w:pPr>
      <w:r w:rsidDel="00000000" w:rsidR="00000000" w:rsidRPr="00000000">
        <w:rPr>
          <w:rFonts w:ascii="Avenir" w:cs="Avenir" w:eastAsia="Avenir" w:hAnsi="Avenir"/>
          <w:b w:val="1"/>
          <w:sz w:val="24"/>
          <w:szCs w:val="24"/>
          <w:rtl w:val="0"/>
        </w:rPr>
        <w:t xml:space="preserve">Fond kvalifikovaných investorů RSBC Defence uzavřel rok 2024 s nadstandardními výsledky. Akcie třídy PIA přinesly roční výnos 10 %, zatímco třída BIA dosáhla výnosu 11 %. K silným výsledkům značně přispěla loňská akvizice zbrojovky STEYR ARMS, rakouské ikony obranného průmyslu. Ta vytváří synergický efekt se slovinskou firmou AREX, která je ve fondu již třetím rokem.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„Obranný průmysl vstoupil do výrazně růstové fáze, která bude podle nás pokračovat minimálně dalších deset, patnáct let. To vytváří mimořádný prostor nejen pro organický rozvoj našich společností, ale i pro expanzi formou dalších akvizic,“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komentuje výsledky Milan Šlapák, CEO STEYR ARMS GmbH.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AREX zaznamenal v roce 2024 rekordní výsledky. EBITDA společnosti meziročně vzrostla o 12 %, což reflektuje jak růst provozní efektivity, tak i vyšší výnosy z kontraktů. Firma uvedla na americký trh nové modely pistolí vyvinuté pro strategického OEM partnera, čímž podpořila růst tržeb v tomto důležitém regionu. Zároveň úspěšně realizovala vojenské zakázky v rámci NATO. Mimo jiné zajistila kontrakt na dodávky neprůstřelných vest a zakázku na přezbrojení armády členského státu pistolí AREX DELTA Gen2.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AREX rovněž pokračoval v expanzi kapacity výroby. Spustil dvě nové linky na nábojové pásy, na kterých využití výrobní kapacity v průběhu roku přesáhlo 90 % a přineslo meziroční nárůst produkce přes 30 %. Společnost se řadí mezi dva největší výrobce nábojových pásů v Evropě vůbec.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Velmi dobře se dařilo i rakouské společnosti STEYR ARMS. Ta v roce 2024 uzavřela několik strategických zakázek. Mezi nejvýznamnější kontrakty patřila realizace dodávky útočných pušek a získání dlouhodobého kontraktu na 40mm granátomety a to pro armády členských států NATO. I v roce 2025 společnost pokračuje v dalších investicích do vývoje a certifikace nových produktů, které budou představeny na trh jak v roce 2025, tak v průběhu roku 2026.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Pozitivní vývoj spatřuje fond i v letošním roce. Těží jak z robustní zakázkové knihy AREXu pro rok 2025, tak z plánovaného navýšení investic evropských států do obranného průmyslu, k nimž přispívá i celní politika Spojených států pod vedením prezidenta Donalda Trumpa. USA důrazně apeluje na spojence, aby zvýšili své výdaje na vlastní obranu, což vede ke zvýšené poptávce po vojenské technice, výzbroji a modernizaci evropských armád.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Na nové geopolitické trendy reagují zbrojařské společnosti. V únoru letošního roku Milan Šlapák nastoupil do pozice CEO STEYR ARMS GmbH, přičemž nová strategie společnosti cílí na další růst a posílení synergií v rámci RSBC Defence. V dubnu pak do čela STEYR ARMS Inc. (USA) nastupuje nový generální ředitel, který bude zodpovědný za rozvoj obchodních aktivit a posílení lokální výroby na americkém trhu. STEYR ARMS tak přichází s novou obchodní strategií pro USA, největší trh pro ruční palné zbraně na světě.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venir" w:cs="Avenir" w:eastAsia="Avenir" w:hAnsi="Avenir"/>
          <w:sz w:val="24"/>
          <w:szCs w:val="24"/>
        </w:rPr>
      </w:pP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Od dubna 2025 fond přechází na nové třídy akcií, které jsou nyní otevřené pro nové investory. Tyto nové třídy, označené jako ALFA a EPSILON, cílí na roční výnos 9-11 % ve tříletém a 11-13 % v pětiletém investičním horizontu. Tato změna odpovídá jak aktuálním tržním podmínkám, tak dlouhodobé strategii fondu. </w:t>
      </w:r>
      <w:r w:rsidDel="00000000" w:rsidR="00000000" w:rsidRPr="00000000">
        <w:rPr>
          <w:rFonts w:ascii="Avenir" w:cs="Avenir" w:eastAsia="Avenir" w:hAnsi="Avenir"/>
          <w:i w:val="1"/>
          <w:sz w:val="24"/>
          <w:szCs w:val="24"/>
          <w:rtl w:val="0"/>
        </w:rPr>
        <w:t xml:space="preserve">„S novým nastavením jsme připraveni nabídnout investorům atraktivní výnosový profil a zároveň pokračovat v dalším rozšiřování portfolia v jednom z klíčových sektorů evropské ekonomiky,“</w:t>
      </w:r>
      <w:r w:rsidDel="00000000" w:rsidR="00000000" w:rsidRPr="00000000">
        <w:rPr>
          <w:rFonts w:ascii="Avenir" w:cs="Avenir" w:eastAsia="Avenir" w:hAnsi="Avenir"/>
          <w:sz w:val="24"/>
          <w:szCs w:val="24"/>
          <w:rtl w:val="0"/>
        </w:rPr>
        <w:t xml:space="preserve"> říká obchodní ředitel skupiny RSBC Jaroslav Minárik.</w:t>
      </w:r>
    </w:p>
    <w:p w:rsidR="00000000" w:rsidDel="00000000" w:rsidP="00000000" w:rsidRDefault="00000000" w:rsidRPr="00000000" w14:paraId="00000010">
      <w:pPr>
        <w:pBdr>
          <w:bottom w:color="000000" w:space="1" w:sz="6" w:val="single"/>
        </w:pBdr>
        <w:jc w:val="center"/>
        <w:rPr>
          <w:rFonts w:ascii="Avenir" w:cs="Avenir" w:eastAsia="Avenir" w:hAnsi="Avenir"/>
          <w:i w:val="1"/>
        </w:rPr>
      </w:pPr>
      <w:r w:rsidDel="00000000" w:rsidR="00000000" w:rsidRPr="00000000">
        <w:rPr>
          <w:rFonts w:ascii="Avenir" w:cs="Avenir" w:eastAsia="Avenir" w:hAnsi="Avenir"/>
          <w:i w:val="1"/>
          <w:rtl w:val="0"/>
        </w:rPr>
        <w:t xml:space="preserve">Konec tiskové zprávy</w:t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RSBC Defence s.r.o.., Vyskočilova 1410/1, Michle, 140 00 Praha 4, tel.: 513 034 190,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  <w:hyperlink r:id="rId7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www.rsbcdefence.cz</w:t>
        </w:r>
      </w:hyperlink>
      <w:r w:rsidDel="00000000" w:rsidR="00000000" w:rsidRPr="00000000">
        <w:rPr>
          <w:b w:val="1"/>
          <w:sz w:val="18"/>
          <w:szCs w:val="18"/>
          <w:rtl w:val="0"/>
        </w:rPr>
        <w:t xml:space="preserve">,</w:t>
      </w:r>
      <w:r w:rsidDel="00000000" w:rsidR="00000000" w:rsidRPr="00000000">
        <w:rPr>
          <w:b w:val="1"/>
          <w:sz w:val="20"/>
          <w:szCs w:val="20"/>
          <w:rtl w:val="0"/>
        </w:rPr>
        <w:t xml:space="preserve"> kontakt:</w:t>
        <w:br w:type="textWrapping"/>
        <w:t xml:space="preserve">Ing. Mgr. Irena Pencová, PR and Communications Manager, tel.: 793 949 579, ipencova@rsbcgroup.com‬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Mgr. Marie Lesáková, Account Manager Topic PR, tel.: 721 267 922, mlesakova@topicpr.cz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bottom w:color="000000" w:space="1" w:sz="6" w:val="single"/>
        </w:pBdr>
        <w:jc w:val="both"/>
        <w:rPr>
          <w:color w:val="41414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bottom w:color="000000" w:space="1" w:sz="6" w:val="single"/>
        </w:pBdr>
        <w:jc w:val="both"/>
        <w:rPr>
          <w:rFonts w:ascii="Avenir" w:cs="Avenir" w:eastAsia="Avenir" w:hAnsi="Avenir"/>
          <w:b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O RSBC Defence</w:t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RSBC Defence spadá pod investiční skupinu RSBC a zaměřuje se na investice do oblasti obranného průmyslu, výroby a technologií s tím spojených. Hlavními aktivy fondu jsou slovinská průmyslová společnost AREX a tradiční rakouský výrobce dlouhých palných zbraní STEYR ARMS. Fond je určen investorům, kteří plánují diverzifikovat své investiční portfolio a mohou využít fond zaměřený na dynamicky rostoucí oblast výroby a poskytování služeb bezpečnostním a obranným složkám. Více informací na </w:t>
      </w:r>
      <w:hyperlink r:id="rId8">
        <w:r w:rsidDel="00000000" w:rsidR="00000000" w:rsidRPr="00000000">
          <w:rPr>
            <w:rFonts w:ascii="Avenir" w:cs="Avenir" w:eastAsia="Avenir" w:hAnsi="Avenir"/>
            <w:color w:val="1155cc"/>
            <w:sz w:val="20"/>
            <w:szCs w:val="20"/>
            <w:u w:val="single"/>
            <w:rtl w:val="0"/>
          </w:rPr>
          <w:t xml:space="preserve">www.rsbcdefence.cz</w:t>
        </w:r>
      </w:hyperlink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6" w:val="single"/>
        </w:pBdr>
        <w:jc w:val="both"/>
        <w:rPr>
          <w:rFonts w:ascii="Avenir" w:cs="Avenir" w:eastAsia="Avenir" w:hAnsi="Avenir"/>
          <w:b w:val="1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O STEYR ARMS</w:t>
      </w:r>
    </w:p>
    <w:p w:rsidR="00000000" w:rsidDel="00000000" w:rsidP="00000000" w:rsidRDefault="00000000" w:rsidRPr="00000000" w14:paraId="00000017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Založena v roce 1864, se sídlem v rakouském Steyru patří k významným evropským producentům zbraní. STEYR ARMS má více než 200 zaměstnanců a tržby za rok 2023 překročily 45 milionů EUR. STEYR ARMS má silné postavení v oblasti loveckých pušek a zbraní pro profesionály z řad policie a armády. K nejúspěšnějším produktům patří ikonický Steyr AUG, který patří do výzbroje více než dvou desítek armád. Díky své kompaktnosti využívají Steyr AUG mnohé speciální policejní jednotky. Silné postavení má společnost také v oblasti precizních pušek, pistolí, příslušenství pro profesionály (armáda, policie, speciální síly) a civilní (lov, sport). STEYR ARMS GmbH je stoprocentním vlastníkem společnosti STEYR ARMS Inc., své dceřiné společnosti se sídlem v USA, ve městě Bessemer ve státě Alabama. Více informací na </w:t>
      </w:r>
      <w:hyperlink r:id="rId9">
        <w:r w:rsidDel="00000000" w:rsidR="00000000" w:rsidRPr="00000000">
          <w:rPr>
            <w:rFonts w:ascii="Avenir" w:cs="Avenir" w:eastAsia="Avenir" w:hAnsi="Avenir"/>
            <w:color w:val="1155cc"/>
            <w:sz w:val="20"/>
            <w:szCs w:val="20"/>
            <w:u w:val="single"/>
            <w:rtl w:val="0"/>
          </w:rPr>
          <w:t xml:space="preserve">www.steyr-arms.com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Fonts w:ascii="Avenir" w:cs="Avenir" w:eastAsia="Avenir" w:hAnsi="Avenir"/>
          <w:b w:val="1"/>
          <w:sz w:val="20"/>
          <w:szCs w:val="20"/>
          <w:rtl w:val="0"/>
        </w:rPr>
        <w:t xml:space="preserve">O AREX</w:t>
        <w:br w:type="textWrapping"/>
      </w:r>
      <w:r w:rsidDel="00000000" w:rsidR="00000000" w:rsidRPr="00000000">
        <w:rPr>
          <w:rFonts w:ascii="Avenir" w:cs="Avenir" w:eastAsia="Avenir" w:hAnsi="Avenir"/>
          <w:sz w:val="20"/>
          <w:szCs w:val="20"/>
          <w:rtl w:val="0"/>
        </w:rPr>
        <w:t xml:space="preserve">Sídlo a výroba společnosti se nachází ve slovinském městě Šentjernej. Byla založena v roce 1994 a zaměstnává přibližně 160 lidí. Ve slovinském závodě o rozloze 10 000 m² se AREX specializuje především na cvičnou munici všech ráží, výrobu samonabíjecích pistolí, pouzder na zbraně, moderní výrobní linky pro výrobce střeliva, průbojnou munici a mnoho dalších. Na trh dodává i další součásti vybavení ozbrojených složek, konkrétně ochranné helmy a vesty, speciální batohy, nože a další technologická řešení. Významná část produkce směřuje na náročné a konkurenční trhy západní Evropy a USA. Mezi odběratele však patří také významné společnosti z obranného průmyslu zemí NATO, Blízkého východu a Jižní Ameriky, kde jde především o Brazílii. Svými produkty zásobuje i slovinskou armádu. </w:t>
      </w:r>
      <w:hyperlink r:id="rId10">
        <w:r w:rsidDel="00000000" w:rsidR="00000000" w:rsidRPr="00000000">
          <w:rPr>
            <w:rFonts w:ascii="Avenir" w:cs="Avenir" w:eastAsia="Avenir" w:hAnsi="Avenir"/>
            <w:color w:val="1155cc"/>
            <w:sz w:val="20"/>
            <w:szCs w:val="20"/>
            <w:u w:val="single"/>
            <w:rtl w:val="0"/>
          </w:rPr>
          <w:t xml:space="preserve">https://www.arex-store.si/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6" w:val="single"/>
        </w:pBdr>
        <w:jc w:val="both"/>
        <w:rPr>
          <w:rFonts w:ascii="Avenir" w:cs="Avenir" w:eastAsia="Avenir" w:hAnsi="Aveni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-380998</wp:posOffset>
          </wp:positionH>
          <wp:positionV relativeFrom="paragraph">
            <wp:posOffset>-76198</wp:posOffset>
          </wp:positionV>
          <wp:extent cx="1700084" cy="572723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00084" cy="57272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4352925</wp:posOffset>
          </wp:positionH>
          <wp:positionV relativeFrom="paragraph">
            <wp:posOffset>-342898</wp:posOffset>
          </wp:positionV>
          <wp:extent cx="1756741" cy="800100"/>
          <wp:effectExtent b="0" l="0" r="0" t="0"/>
          <wp:wrapSquare wrapText="bothSides" distB="114300" distT="114300" distL="114300" distR="11430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56741" cy="8001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ln" w:default="1">
    <w:name w:val="Normal"/>
    <w:qFormat w:val="1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Revize">
    <w:name w:val="Revision"/>
    <w:hidden w:val="1"/>
    <w:uiPriority w:val="99"/>
    <w:semiHidden w:val="1"/>
    <w:rsid w:val="00AF05A2"/>
    <w:pPr>
      <w:spacing w:line="240" w:lineRule="auto"/>
    </w:p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C27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0C2717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0C27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0C2717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0C271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arex-store.si/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steyr-arms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sbcdefence.cz" TargetMode="External"/><Relationship Id="rId8" Type="http://schemas.openxmlformats.org/officeDocument/2006/relationships/hyperlink" Target="http://www.rsbcdefence.cz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6U591BiylkSYeoKzxQ1Ll8qiwg==">CgMxLjA4AHIhMVluaGhXV2VTNWVvb1FNMnR5S3ZPcElDLWVHVXktOTAz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2025-04-11T08:21:00Z</dcterms:created>
  <dc:creator>Irena Pencová</dc:creator>
</cp:coreProperties>
</file>